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321E31A0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7B42E4"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ალდაგი</w:t>
      </w:r>
      <w:r w:rsidR="00DE5955">
        <w:rPr>
          <w:rFonts w:ascii="Sylfaen" w:hAnsi="Sylfaen" w:cs="Sylfaen"/>
          <w:szCs w:val="22"/>
          <w:lang w:val="ka-GE"/>
        </w:rPr>
        <w:t>“</w:t>
      </w:r>
      <w:r w:rsidR="008F0272">
        <w:rPr>
          <w:rFonts w:ascii="Sylfaen" w:hAnsi="Sylfaen" w:cs="Sylfaen"/>
          <w:szCs w:val="22"/>
          <w:lang w:val="ka-GE"/>
        </w:rPr>
        <w:t>-ს</w:t>
      </w:r>
      <w:r w:rsidR="00DE595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საშუალება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მისცეს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Pr="003A2B5A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proofErr w:type="gramEnd"/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18C7057C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სს </w:t>
      </w:r>
      <w:r w:rsidR="008F0272">
        <w:rPr>
          <w:rFonts w:ascii="Sylfaen" w:hAnsi="Sylfaen" w:cs="Sylfaen"/>
          <w:szCs w:val="22"/>
          <w:lang w:val="ka-GE"/>
        </w:rPr>
        <w:t>„სადაზღვევო კომპანია ალადგი“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</w:t>
      </w:r>
      <w:proofErr w:type="spellStart"/>
      <w:r w:rsidR="00A7746A" w:rsidRPr="003A2B5A">
        <w:rPr>
          <w:rFonts w:ascii="Sylfaen" w:hAnsi="Sylfaen" w:cs="Sylfaen"/>
          <w:szCs w:val="22"/>
        </w:rPr>
        <w:t>შემდგომ</w:t>
      </w:r>
      <w:proofErr w:type="spellEnd"/>
      <w:r w:rsidR="00A7746A" w:rsidRPr="003A2B5A">
        <w:rPr>
          <w:rFonts w:ascii="Sylfaen" w:hAnsi="Sylfaen" w:cs="Sylfaen"/>
          <w:szCs w:val="22"/>
        </w:rPr>
        <w:t xml:space="preserve"> – </w:t>
      </w:r>
      <w:proofErr w:type="spellStart"/>
      <w:r w:rsidR="00A7746A" w:rsidRPr="003A2B5A">
        <w:rPr>
          <w:rFonts w:ascii="Sylfaen" w:hAnsi="Sylfaen" w:cs="Sylfaen"/>
          <w:szCs w:val="22"/>
        </w:rPr>
        <w:t>პრეტენდენტი</w:t>
      </w:r>
      <w:proofErr w:type="spellEnd"/>
      <w:r w:rsidR="00A7746A" w:rsidRPr="003A2B5A">
        <w:rPr>
          <w:rFonts w:ascii="Sylfaen" w:hAnsi="Sylfaen" w:cs="Sylfaen"/>
          <w:szCs w:val="22"/>
        </w:rPr>
        <w:t>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proofErr w:type="spellStart"/>
      <w:r w:rsidR="00A7746A" w:rsidRPr="003A2B5A">
        <w:rPr>
          <w:rFonts w:ascii="Sylfaen" w:hAnsi="Sylfaen" w:cs="Sylfaen"/>
          <w:szCs w:val="22"/>
        </w:rPr>
        <w:t>შეთავაზებ</w:t>
      </w:r>
      <w:proofErr w:type="spellEnd"/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 w:rsidR="008F0272">
        <w:rPr>
          <w:rFonts w:ascii="Sylfaen" w:hAnsi="Sylfaen" w:cs="Sylfaen"/>
          <w:lang w:val="ka-GE"/>
        </w:rPr>
        <w:t xml:space="preserve">ტენდერში </w:t>
      </w:r>
      <w:r w:rsidR="00E72E8A">
        <w:rPr>
          <w:rFonts w:ascii="Sylfaen" w:hAnsi="Sylfaen" w:cs="Sylfaen"/>
          <w:lang w:val="ka-GE"/>
        </w:rPr>
        <w:t xml:space="preserve">ქსელური </w:t>
      </w:r>
      <w:r w:rsidR="00E72E8A" w:rsidRPr="00E72E8A">
        <w:rPr>
          <w:rFonts w:ascii="Sylfaen" w:hAnsi="Sylfaen" w:cs="Sylfaen"/>
          <w:lang w:val="ka-GE"/>
        </w:rPr>
        <w:t>ინფრასტრუქტურის შესყიდვაზე</w:t>
      </w:r>
      <w:r w:rsidR="00E447BD">
        <w:rPr>
          <w:rFonts w:ascii="Sylfaen" w:hAnsi="Sylfaen" w:cs="Sylfaen"/>
          <w:lang w:val="ka-GE"/>
        </w:rPr>
        <w:t xml:space="preserve"> </w:t>
      </w:r>
      <w:r w:rsidR="00565095">
        <w:rPr>
          <w:rFonts w:ascii="Sylfaen" w:hAnsi="Sylfaen" w:cs="Sylfaen"/>
          <w:lang w:val="ka-GE"/>
        </w:rPr>
        <w:t>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35F85218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Pr="005A3DFA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პრეტენდენტ/ებ/</w:t>
      </w:r>
      <w:proofErr w:type="gramStart"/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="008B4CA4">
        <w:rPr>
          <w:rFonts w:ascii="Sylfaen" w:hAnsi="Sylfaen" w:cs="Sylfaen"/>
          <w:szCs w:val="22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proofErr w:type="gramEnd"/>
      <w:r w:rsidRPr="005A3DFA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 xml:space="preserve">ჯერადი </w:t>
      </w:r>
      <w:r w:rsidR="00E72E8A">
        <w:rPr>
          <w:rFonts w:ascii="Sylfaen" w:hAnsi="Sylfaen" w:cs="Sylfaen"/>
          <w:szCs w:val="22"/>
          <w:lang w:val="ka-GE"/>
        </w:rPr>
        <w:t xml:space="preserve">შესყიდვის </w:t>
      </w:r>
      <w:r w:rsidR="00DE5955">
        <w:rPr>
          <w:rFonts w:ascii="Sylfaen" w:hAnsi="Sylfaen" w:cs="Sylfaen"/>
          <w:szCs w:val="22"/>
          <w:lang w:val="ka-GE"/>
        </w:rPr>
        <w:t>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61165966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E242EB">
        <w:rPr>
          <w:rFonts w:ascii="Sylfaen" w:hAnsi="Sylfaen" w:cs="Sylfaen"/>
          <w:lang w:val="ka-GE"/>
        </w:rPr>
        <w:t>28</w:t>
      </w:r>
      <w:r w:rsidR="00E72E8A">
        <w:rPr>
          <w:rFonts w:ascii="Sylfaen" w:hAnsi="Sylfaen" w:cs="Sylfaen"/>
          <w:lang w:val="ka-GE"/>
        </w:rPr>
        <w:t xml:space="preserve"> დეკემბრისა.</w:t>
      </w:r>
    </w:p>
    <w:p w14:paraId="4DBD2224" w14:textId="39C7AFB4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</w:t>
      </w:r>
      <w:r w:rsidR="008F0272">
        <w:rPr>
          <w:rFonts w:ascii="Sylfaen" w:hAnsi="Sylfaen" w:cs="Sylfaen"/>
          <w:lang w:val="ka-GE"/>
        </w:rPr>
        <w:t>„სადაზღვევო კომპანია 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2F5D83CA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E72E8A">
        <w:rPr>
          <w:rFonts w:ascii="Sylfaen" w:hAnsi="Sylfaen" w:cs="Sylfaen"/>
          <w:lang w:val="ka-GE"/>
        </w:rPr>
        <w:t>24.12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7A34019B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7278F6">
        <w:rPr>
          <w:rFonts w:ascii="Sylfaen" w:hAnsi="Sylfaen" w:cs="Sylfaen"/>
          <w:lang w:val="ka-GE"/>
        </w:rPr>
        <w:t>2</w:t>
      </w:r>
      <w:r w:rsidR="00E72E8A">
        <w:rPr>
          <w:rFonts w:ascii="Sylfaen" w:hAnsi="Sylfaen" w:cs="Sylfaen"/>
          <w:lang w:val="ka-GE"/>
        </w:rPr>
        <w:t>8</w:t>
      </w:r>
      <w:r w:rsidR="00DE5955">
        <w:rPr>
          <w:rFonts w:ascii="Sylfaen" w:hAnsi="Sylfaen" w:cs="Sylfaen"/>
          <w:lang w:val="ka-GE"/>
        </w:rPr>
        <w:t>.1</w:t>
      </w:r>
      <w:r w:rsidR="00E72E8A">
        <w:rPr>
          <w:rFonts w:ascii="Sylfaen" w:hAnsi="Sylfaen" w:cs="Sylfaen"/>
          <w:lang w:val="ka-GE"/>
        </w:rPr>
        <w:t>2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03CDB16B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E242EB">
        <w:rPr>
          <w:rFonts w:ascii="Sylfaen" w:hAnsi="Sylfaen" w:cs="Sylfaen"/>
          <w:lang w:val="ka-GE"/>
        </w:rPr>
        <w:t>0</w:t>
      </w:r>
      <w:r w:rsidR="00E72E8A">
        <w:rPr>
          <w:rFonts w:ascii="Sylfaen" w:hAnsi="Sylfaen" w:cs="Sylfaen"/>
          <w:lang w:val="ka-GE"/>
        </w:rPr>
        <w:t>3</w:t>
      </w:r>
      <w:r w:rsidR="00E242EB">
        <w:rPr>
          <w:rFonts w:ascii="Sylfaen" w:hAnsi="Sylfaen" w:cs="Sylfaen"/>
          <w:lang w:val="ka-GE"/>
        </w:rPr>
        <w:t>.01</w:t>
      </w:r>
      <w:bookmarkStart w:id="0" w:name="_GoBack"/>
      <w:bookmarkEnd w:id="0"/>
      <w:r w:rsidR="00E242EB">
        <w:rPr>
          <w:rFonts w:ascii="Sylfaen" w:hAnsi="Sylfaen" w:cs="Sylfaen"/>
          <w:lang w:val="ka-GE"/>
        </w:rPr>
        <w:t>.2019</w:t>
      </w:r>
    </w:p>
    <w:p w14:paraId="63729E9E" w14:textId="5784D417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E242EB">
        <w:rPr>
          <w:rFonts w:ascii="Sylfaen" w:hAnsi="Sylfaen" w:cs="Sylfaen"/>
          <w:lang w:val="ka-GE"/>
        </w:rPr>
        <w:t>0</w:t>
      </w:r>
      <w:r w:rsidR="00E72E8A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="00E242EB">
        <w:rPr>
          <w:rFonts w:ascii="Sylfaen" w:hAnsi="Sylfaen" w:cs="Sylfaen"/>
          <w:lang w:val="ka-GE"/>
        </w:rPr>
        <w:t>01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E242EB">
        <w:rPr>
          <w:rFonts w:ascii="Sylfaen" w:hAnsi="Sylfaen" w:cs="Sylfaen"/>
          <w:lang w:val="ka-GE"/>
        </w:rPr>
        <w:t>9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3B3709FD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lastRenderedPageBreak/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2A8AC548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="00DE5955">
        <w:rPr>
          <w:rFonts w:ascii="Sylfaen" w:hAnsi="Sylfaen"/>
          <w:iCs/>
          <w:lang w:val="ka-GE"/>
        </w:rPr>
        <w:t>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5A849526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F0272">
        <w:rPr>
          <w:rFonts w:ascii="Sylfaen" w:hAnsi="Sylfaen"/>
          <w:iCs/>
          <w:lang w:val="ka-GE"/>
        </w:rPr>
        <w:t>სადაზღვევო კომპანია ალდაგი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4A3EDFB8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E72E8A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01095520" w:rsidR="00CB096F" w:rsidRDefault="00E72E8A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ქსელური ინფრასტრუქტურა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50D1C549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6C028B59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8F0272">
        <w:rPr>
          <w:rFonts w:ascii="Sylfaen" w:hAnsi="Sylfaen" w:cs="Sylfaen"/>
          <w:lang w:val="en-US"/>
        </w:rPr>
        <w:t>aldagi.ge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3EE6E82C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</w:t>
      </w:r>
      <w:r w:rsidR="008F0272">
        <w:rPr>
          <w:rFonts w:ascii="Sylfaen" w:hAnsi="Sylfaen" w:cs="Sylfaen"/>
          <w:lang w:val="ka-GE"/>
        </w:rPr>
        <w:t>aldagi.ge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50F12988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7435E9">
        <w:rPr>
          <w:rFonts w:ascii="Sylfaen" w:hAnsi="Sylfaen" w:cs="Sylfaen"/>
          <w:lang w:val="ka-GE"/>
        </w:rPr>
        <w:t xml:space="preserve">“ </w:t>
      </w:r>
      <w:r w:rsidR="00E72E8A">
        <w:rPr>
          <w:rFonts w:ascii="Sylfaen" w:hAnsi="Sylfaen" w:cs="Sylfaen"/>
          <w:lang w:val="ka-GE"/>
        </w:rPr>
        <w:t>ქსელური ინფრასტრუქტურის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E72E8A">
        <w:rPr>
          <w:rFonts w:ascii="Sylfaen" w:hAnsi="Sylfaen" w:cs="Sylfaen"/>
          <w:lang w:val="ka-GE"/>
        </w:rPr>
        <w:t>ერთ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en-US"/>
        </w:rPr>
        <w:t>ანგარიშსწორების</w:t>
      </w:r>
      <w:proofErr w:type="spellEnd"/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622429A0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6B6DAA12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6A416AA1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477863B1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</w:t>
      </w:r>
      <w:r w:rsidR="008F0272">
        <w:rPr>
          <w:rFonts w:ascii="Sylfaen" w:hAnsi="Sylfaen" w:cs="Sylfaen"/>
          <w:lang w:val="ka-GE"/>
        </w:rPr>
        <w:t>სადაზღვევო კომპანია ალდაგი</w:t>
      </w:r>
      <w:r w:rsidR="00DE5955">
        <w:rPr>
          <w:rFonts w:ascii="Sylfaen" w:hAnsi="Sylfaen" w:cs="Sylfaen"/>
          <w:lang w:val="ka-GE"/>
        </w:rPr>
        <w:t>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E8281F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E8281F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7" w:type="dxa"/>
      <w:tblInd w:w="-4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3557"/>
      <w:gridCol w:w="6640"/>
    </w:tblGrid>
    <w:tr w:rsidR="00DE5955" w:rsidRPr="00FB272C" w14:paraId="348D31C2" w14:textId="77777777" w:rsidTr="008F0272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65A28FED" w:rsidR="007B42E4" w:rsidRDefault="008F0272" w:rsidP="000910BD">
          <w:pPr>
            <w:pStyle w:val="En-tte-logo"/>
            <w:rPr>
              <w:rFonts w:ascii="SG Logo Admin." w:hAnsi="SG Logo Admin."/>
            </w:rPr>
          </w:pPr>
          <w:r>
            <w:rPr>
              <w:noProof/>
              <w:lang w:eastAsia="en-US"/>
            </w:rPr>
            <w:drawing>
              <wp:inline distT="0" distB="0" distL="0" distR="0" wp14:anchorId="287866BE" wp14:editId="2E0A533A">
                <wp:extent cx="2121946" cy="701040"/>
                <wp:effectExtent l="0" t="0" r="0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946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5D3D118B" w:rsidR="007B42E4" w:rsidRPr="00565095" w:rsidRDefault="00AC2A1A" w:rsidP="008F027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en-GB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: სს 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>„სადაზღვევო კომპანია ალდაგი“-ს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E72E8A">
            <w:rPr>
              <w:rFonts w:ascii="Sylfaen" w:hAnsi="Sylfaen" w:cs="Sylfaen"/>
              <w:b/>
              <w:bCs/>
              <w:sz w:val="20"/>
              <w:lang w:val="ka-GE"/>
            </w:rPr>
            <w:t>ქსელური ინფრასტრუქტურის შესყიდვაზე</w:t>
          </w:r>
          <w:r w:rsidR="008F0272">
            <w:rPr>
              <w:rFonts w:ascii="Sylfaen" w:hAnsi="Sylfaen" w:cs="Sylfaen"/>
              <w:b/>
              <w:bCs/>
              <w:sz w:val="20"/>
              <w:lang w:val="ka-GE"/>
            </w:rPr>
            <w:t xml:space="preserve">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278F6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0272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242EB"/>
    <w:rsid w:val="00E302DD"/>
    <w:rsid w:val="00E41450"/>
    <w:rsid w:val="00E447BD"/>
    <w:rsid w:val="00E52D15"/>
    <w:rsid w:val="00E615B9"/>
    <w:rsid w:val="00E625A1"/>
    <w:rsid w:val="00E65A1E"/>
    <w:rsid w:val="00E72CDE"/>
    <w:rsid w:val="00E72E8A"/>
    <w:rsid w:val="00E73884"/>
    <w:rsid w:val="00E73FA5"/>
    <w:rsid w:val="00E76758"/>
    <w:rsid w:val="00E76A83"/>
    <w:rsid w:val="00E81B3C"/>
    <w:rsid w:val="00E8281F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9C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58D8-761F-D442-9A89-CCF99EB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4712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5527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Kakha</cp:lastModifiedBy>
  <cp:revision>2</cp:revision>
  <cp:lastPrinted>2009-08-18T11:14:00Z</cp:lastPrinted>
  <dcterms:created xsi:type="dcterms:W3CDTF">2018-12-24T13:21:00Z</dcterms:created>
  <dcterms:modified xsi:type="dcterms:W3CDTF">2018-12-24T13:21:00Z</dcterms:modified>
</cp:coreProperties>
</file>